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FDF" w:rsidRDefault="00901264">
      <w:pPr>
        <w:spacing w:line="480" w:lineRule="auto"/>
        <w:ind w:right="62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01264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585470</wp:posOffset>
                </wp:positionH>
                <wp:positionV relativeFrom="paragraph">
                  <wp:posOffset>180975</wp:posOffset>
                </wp:positionV>
                <wp:extent cx="4733925" cy="1404620"/>
                <wp:effectExtent l="0" t="0" r="28575" b="1968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3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264" w:rsidRDefault="00901264">
                            <w:r>
                              <w:t>MODELLO DETERMINA A CONTRARRE AFFIDAMENTO DIRETTO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46.1pt;margin-top:14.25pt;width:37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">
                <v:textbox style="mso-fit-shape-to-text:t">
                  <w:txbxContent>
                    <w:p w:rsidR="00901264" w:rsidRDefault="00901264">
                      <w:r>
                        <w:t>MODELLO DETERMINA A CONTRARRE AFFIDAMENTO DIRETTO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34FDF" w:rsidRDefault="00234FDF">
      <w:pPr>
        <w:spacing w:line="480" w:lineRule="auto"/>
        <w:ind w:right="6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4FDF" w:rsidRDefault="00234FDF">
      <w:pPr>
        <w:spacing w:line="480" w:lineRule="auto"/>
        <w:ind w:right="62"/>
        <w:rPr>
          <w:rFonts w:ascii="Times New Roman" w:hAnsi="Times New Roman"/>
          <w:sz w:val="24"/>
          <w:szCs w:val="24"/>
        </w:rPr>
      </w:pPr>
    </w:p>
    <w:p w:rsidR="00234FDF" w:rsidRDefault="00EA70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DA2A51"/>
        <w:spacing w:line="480" w:lineRule="auto"/>
        <w:ind w:right="6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DETERMINAZIONE n.° del </w:t>
      </w:r>
    </w:p>
    <w:p w:rsidR="00234FDF" w:rsidRDefault="00234FDF">
      <w:pPr>
        <w:spacing w:line="480" w:lineRule="auto"/>
        <w:ind w:right="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34FDF" w:rsidRDefault="00EA7030">
      <w:pPr>
        <w:spacing w:line="480" w:lineRule="auto"/>
        <w:ind w:right="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OGGETTO: DETERMINA A CONTRARRE PER L’AFFIDAMENTO DIRETTO EX ART. 1 COMMA 2 LETT. A) DEL DECRETO LEGGE 76/20202 CONVERTITO DALLA LEGGE 120/2020, DEL SERVIZIO AVENTE AD OGGETTO “</w:t>
      </w:r>
      <w:r w:rsidR="00111547">
        <w:rPr>
          <w:rFonts w:ascii="Times New Roman" w:hAnsi="Times New Roman"/>
          <w:b/>
          <w:bCs/>
          <w:sz w:val="24"/>
          <w:szCs w:val="24"/>
        </w:rPr>
        <w:t>________________</w:t>
      </w:r>
      <w:r>
        <w:rPr>
          <w:rFonts w:ascii="Times New Roman" w:hAnsi="Times New Roman"/>
          <w:b/>
          <w:bCs/>
          <w:sz w:val="24"/>
          <w:szCs w:val="24"/>
        </w:rPr>
        <w:t>” - CIG:</w:t>
      </w:r>
      <w:r>
        <w:rPr>
          <w:rFonts w:ascii="Times New Roman" w:hAnsi="Times New Roman"/>
          <w:b/>
          <w:bCs/>
          <w:sz w:val="24"/>
          <w:szCs w:val="24"/>
          <w:shd w:val="clear" w:color="auto" w:fill="FFFF00"/>
        </w:rPr>
        <w:t>_________</w:t>
      </w:r>
    </w:p>
    <w:p w:rsidR="00234FDF" w:rsidRDefault="00234FDF">
      <w:pPr>
        <w:spacing w:line="480" w:lineRule="auto"/>
        <w:ind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4FDF" w:rsidRDefault="00EA7030">
      <w:pPr>
        <w:spacing w:line="480" w:lineRule="auto"/>
        <w:ind w:right="62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Il Dirigente del Settore……………………..;</w:t>
      </w:r>
    </w:p>
    <w:p w:rsidR="00234FDF" w:rsidRDefault="00EA7030">
      <w:pPr>
        <w:spacing w:line="480" w:lineRule="auto"/>
        <w:ind w:right="6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Visto</w:t>
      </w:r>
    </w:p>
    <w:p w:rsidR="00234FDF" w:rsidRDefault="00EA7030">
      <w:pPr>
        <w:pStyle w:val="Paragrafoelenco"/>
        <w:numPr>
          <w:ilvl w:val="0"/>
          <w:numId w:val="2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l’art. 1 comma 2 lett. a) del D.L 76/2020 convertito in Legge 120/2020, come modificato e integrato dal DL 77/2021 convertito dalla Legge 108/2021, ai sensi del quale le stazioni appaltanti procedono all'affidamento delle attivita' di esecuzione di lavori, servizi e forniture, nonche' dei servizi di ingegneria e architettura, inclusa l'attivita' di progettazione, di importo inferiore alle soglie di cui all'</w:t>
      </w:r>
      <w:hyperlink r:id="rId7" w:anchor="/ricerca/fonti_documento?idDatabank=7&amp;idDocMaster=4977851&amp;idUnitaDoc=29881113&amp;nVigUnitaDoc=1&amp;docIdx=1&amp;isCorrelazioniSearch=true&amp;correlatoA=Normativa" w:history="1">
        <w:r>
          <w:rPr>
            <w:rStyle w:val="Hyperlink0"/>
            <w:rFonts w:ascii="Times New Roman" w:hAnsi="Times New Roman"/>
            <w:sz w:val="24"/>
            <w:szCs w:val="24"/>
          </w:rPr>
          <w:t>articolo 35 del decreto legislativo n. 50 del 2016</w:t>
        </w:r>
      </w:hyperlink>
      <w:r>
        <w:rPr>
          <w:rStyle w:val="Hyperlink0"/>
          <w:rFonts w:ascii="Times New Roman" w:hAnsi="Times New Roman"/>
          <w:sz w:val="24"/>
          <w:szCs w:val="24"/>
        </w:rPr>
        <w:t>, mediante: “</w:t>
      </w:r>
      <w:r>
        <w:rPr>
          <w:rStyle w:val="Nessuno"/>
          <w:rFonts w:ascii="Times New Roman" w:hAnsi="Times New Roman"/>
          <w:i/>
          <w:iCs/>
          <w:sz w:val="24"/>
          <w:szCs w:val="24"/>
        </w:rPr>
        <w:t>a) affidamento diretto per lavori di importo inferiore a 150.000 euro e per servizi e forniture, ivi compresi i servizi di ingegneria e architettura e l'attività di progettazione, di importo inferiore a 139.000 euro. In tali casi la stazione appaltante procede all'affidamento diretto, anche senza consultazione di più operatori economici, fermi restando il rispetto dei principi di cui all'</w:t>
      </w:r>
      <w:hyperlink r:id="rId8" w:anchor="/ricerca/fonti_documento?idDatabank=7&amp;idDocMaster=3948605&amp;idUnitaDoc=20131995&amp;nVigUnitaDoc=1&amp;docIdx=1&amp;isCorrelazioniSearch=true&amp;correlatoA=Normativa" w:history="1">
        <w:r>
          <w:rPr>
            <w:rStyle w:val="Hyperlink1"/>
            <w:rFonts w:eastAsia="Arial Unicode MS"/>
            <w:sz w:val="24"/>
            <w:szCs w:val="24"/>
          </w:rPr>
          <w:t>articolo 30 del codice dei contratti pubblici</w:t>
        </w:r>
      </w:hyperlink>
      <w:r>
        <w:rPr>
          <w:rStyle w:val="Hyperlink1"/>
          <w:rFonts w:eastAsia="Arial Unicode MS"/>
          <w:sz w:val="24"/>
          <w:szCs w:val="24"/>
        </w:rPr>
        <w:t> di cui al </w:t>
      </w:r>
      <w:hyperlink r:id="rId9" w:anchor="/ricerca/fonti_documento?idDatabank=7&amp;idDocMaster=4977851&amp;idUnitaDoc=29881070&amp;nVigUnitaDoc=1&amp;docIdx=1&amp;isCorrelazioniSearch=true&amp;correlatoA=Normativa" w:history="1">
        <w:r>
          <w:rPr>
            <w:rStyle w:val="Hyperlink1"/>
            <w:rFonts w:eastAsia="Arial Unicode MS"/>
            <w:sz w:val="24"/>
            <w:szCs w:val="24"/>
          </w:rPr>
          <w:t>decreto legislativo 18 aprile 2016, n. 50</w:t>
        </w:r>
      </w:hyperlink>
      <w:r>
        <w:rPr>
          <w:rStyle w:val="Hyperlink1"/>
          <w:rFonts w:eastAsia="Arial Unicode MS"/>
          <w:sz w:val="24"/>
          <w:szCs w:val="24"/>
        </w:rPr>
        <w:t>, e l'esigenza che siano scelti soggetti in possesso di pregresse e documentate esperienze analoghe a quelle oggetto di affidamento, anche individuati tra coloro che risultano iscritti in elenchi o albi istituiti dalla stazione appaltante, comunque nel rispetto del principio di rotazione</w:t>
      </w:r>
      <w:r>
        <w:rPr>
          <w:rStyle w:val="Hyperlink0"/>
          <w:rFonts w:ascii="Times New Roman" w:hAnsi="Times New Roman"/>
          <w:sz w:val="24"/>
          <w:szCs w:val="24"/>
        </w:rPr>
        <w:t xml:space="preserve">”; </w:t>
      </w:r>
    </w:p>
    <w:p w:rsidR="00234FDF" w:rsidRDefault="00EA7030">
      <w:pPr>
        <w:pStyle w:val="Paragrafoelenco"/>
        <w:numPr>
          <w:ilvl w:val="0"/>
          <w:numId w:val="2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lastRenderedPageBreak/>
        <w:t>L’art. 30 del D.Lgs. 50/2016, che sancisce i principi a cui devono soggiacere tutti gli affidamenti degli appalti di opere, lavori e servizi, e delle concessioni, compresi quelli sotto soglia comunitaria;</w:t>
      </w:r>
    </w:p>
    <w:p w:rsidR="00234FDF" w:rsidRDefault="00EA7030">
      <w:pPr>
        <w:pStyle w:val="Paragrafoelenco"/>
        <w:numPr>
          <w:ilvl w:val="0"/>
          <w:numId w:val="2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l’art. 36 comma 1 del D.Lgs. 50/2016, il quale prevede che l'affidamento e l'esecuzione di lavori, servizi e forniture di importo inferiore alle soglie di cui all'</w:t>
      </w:r>
      <w:hyperlink r:id="rId10" w:anchor="035" w:history="1">
        <w:r>
          <w:rPr>
            <w:rStyle w:val="Hyperlink2"/>
            <w:rFonts w:ascii="Times New Roman" w:hAnsi="Times New Roman"/>
            <w:sz w:val="24"/>
            <w:szCs w:val="24"/>
          </w:rPr>
          <w:t>articolo 35</w:t>
        </w:r>
      </w:hyperlink>
      <w:r>
        <w:rPr>
          <w:rStyle w:val="Hyperlink0"/>
          <w:rFonts w:ascii="Times New Roman" w:hAnsi="Times New Roman"/>
          <w:sz w:val="24"/>
          <w:szCs w:val="24"/>
        </w:rPr>
        <w:t> avvengano, oltre che nel rispetto dei principi di cui all’articolo 30 comma 1,</w:t>
      </w:r>
      <w:r>
        <w:rPr>
          <w:rStyle w:val="Hyperlink2"/>
          <w:rFonts w:ascii="Times New Roman" w:hAnsi="Times New Roman"/>
          <w:sz w:val="24"/>
          <w:szCs w:val="24"/>
        </w:rPr>
        <w:t xml:space="preserve"> anche in ottemperanza</w:t>
      </w:r>
      <w:r>
        <w:rPr>
          <w:rStyle w:val="Hyperlink0"/>
          <w:rFonts w:ascii="Times New Roman" w:hAnsi="Times New Roman"/>
          <w:sz w:val="24"/>
          <w:szCs w:val="24"/>
        </w:rPr>
        <w:t>:</w:t>
      </w:r>
    </w:p>
    <w:p w:rsidR="00234FDF" w:rsidRDefault="00EA7030">
      <w:pPr>
        <w:pStyle w:val="Paragrafoelenco"/>
        <w:numPr>
          <w:ilvl w:val="0"/>
          <w:numId w:val="4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 xml:space="preserve">ai principi di cui all’art. </w:t>
      </w:r>
      <w:hyperlink r:id="rId11" w:anchor="042" w:history="1">
        <w:r>
          <w:rPr>
            <w:rStyle w:val="Hyperlink2"/>
            <w:rFonts w:ascii="Times New Roman" w:hAnsi="Times New Roman"/>
            <w:sz w:val="24"/>
            <w:szCs w:val="24"/>
          </w:rPr>
          <w:t>42</w:t>
        </w:r>
      </w:hyperlink>
      <w:r>
        <w:rPr>
          <w:rStyle w:val="Hyperlink0"/>
          <w:rFonts w:ascii="Times New Roman" w:hAnsi="Times New Roman"/>
          <w:sz w:val="24"/>
          <w:szCs w:val="24"/>
        </w:rPr>
        <w:t>, il cui comma 1 precisa che “</w:t>
      </w:r>
      <w:r>
        <w:rPr>
          <w:rStyle w:val="Hyperlink1"/>
          <w:rFonts w:eastAsia="Arial Unicode MS"/>
          <w:sz w:val="24"/>
          <w:szCs w:val="24"/>
        </w:rPr>
        <w:t>Le stazioni appaltanti prevedono misure adeguate per contrastare le frodi e la corruzione nonché per individuare, prevenire e risolvere in modo efficace ogni ipotesi di conflitto di interesse nello svolgimento delle procedure di aggiudicazione degli appalti e delle concessioni, in modo da evitare qualsiasi distorsione della concorrenza e garantire la parità di trattamento di tutti gli operatori economici”;</w:t>
      </w:r>
    </w:p>
    <w:p w:rsidR="00234FDF" w:rsidRDefault="00EA7030">
      <w:pPr>
        <w:pStyle w:val="Paragrafoelenco"/>
        <w:numPr>
          <w:ilvl w:val="0"/>
          <w:numId w:val="4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all’art. 32 comma 2 del D.Lgs. n. 50/2016, il quale dispone che “</w:t>
      </w:r>
      <w:r>
        <w:rPr>
          <w:rStyle w:val="Hyperlink1"/>
          <w:rFonts w:eastAsia="Arial Unicode MS"/>
          <w:sz w:val="24"/>
          <w:szCs w:val="24"/>
        </w:rPr>
        <w:t>prima dell’avvio della procedura di affidamento dei contratti, le amministrazioni aggiudicatrici, decretano o determinano di contrarre, in conformità ai propri ordinamenti, individuando gli elementi essenziali del contratto ed i criteri di selezione degli operatori economici e delle offerte</w:t>
      </w:r>
      <w:r>
        <w:rPr>
          <w:rStyle w:val="Hyperlink0"/>
          <w:rFonts w:ascii="Times New Roman" w:hAnsi="Times New Roman"/>
          <w:sz w:val="24"/>
          <w:szCs w:val="24"/>
        </w:rPr>
        <w:t>”;</w:t>
      </w:r>
    </w:p>
    <w:p w:rsidR="00234FDF" w:rsidRDefault="00EA7030">
      <w:pPr>
        <w:pStyle w:val="Paragrafoelenco"/>
        <w:numPr>
          <w:ilvl w:val="0"/>
          <w:numId w:val="6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l’art. 1 comma 3 del D.L. n. 76/2020 convertito in L. n. 120/2020, come modificato e integrato dal D.L. 77/2021 convertito dalla Legge 108/2021</w:t>
      </w:r>
      <w:r>
        <w:rPr>
          <w:rStyle w:val="Nessuno"/>
          <w:rFonts w:ascii="Times New Roman" w:hAnsi="Times New Roman"/>
          <w:sz w:val="24"/>
          <w:szCs w:val="24"/>
          <w:shd w:val="clear" w:color="auto" w:fill="FFFFFF"/>
        </w:rPr>
        <w:t>, secondo il quale “</w:t>
      </w:r>
      <w:r>
        <w:rPr>
          <w:rStyle w:val="Nessuno"/>
          <w:rFonts w:ascii="Times New Roman" w:hAnsi="Times New Roman"/>
          <w:i/>
          <w:iCs/>
          <w:sz w:val="24"/>
          <w:szCs w:val="24"/>
          <w:shd w:val="clear" w:color="auto" w:fill="FFFFFF"/>
        </w:rPr>
        <w:t>Gli affidamenti diretti possono essere realizzati tramite determina a contrarre, o atto equivalente, che contenga gli elementi descritti nell'</w:t>
      </w:r>
      <w:hyperlink r:id="rId12" w:anchor="/ricerca/fonti_documento?idDatabank=7&amp;idDocMaster=4977851&amp;idUnitaDoc=29881108&amp;nVigUnitaDoc=1&amp;docIdx=1&amp;isCorrelazioniSearch=true&amp;correlatoA=Normativa" w:history="1">
        <w:r>
          <w:rPr>
            <w:rStyle w:val="Hyperlink3"/>
            <w:rFonts w:eastAsia="Arial Unicode MS"/>
            <w:sz w:val="24"/>
            <w:szCs w:val="24"/>
          </w:rPr>
          <w:t>articolo 32, comma 2, del decreto legislativo n. 50 del 2016</w:t>
        </w:r>
      </w:hyperlink>
      <w:r>
        <w:rPr>
          <w:rStyle w:val="Nessuno"/>
          <w:rFonts w:ascii="Times New Roman" w:hAnsi="Times New Roman"/>
          <w:i/>
          <w:iCs/>
          <w:sz w:val="24"/>
          <w:szCs w:val="24"/>
          <w:shd w:val="clear" w:color="auto" w:fill="FFFFFF"/>
        </w:rPr>
        <w:t>”;</w:t>
      </w:r>
    </w:p>
    <w:p w:rsidR="00234FDF" w:rsidRDefault="00EA7030">
      <w:pPr>
        <w:pStyle w:val="Paragrafoelenco"/>
        <w:numPr>
          <w:ilvl w:val="0"/>
          <w:numId w:val="6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Nessuno"/>
          <w:rFonts w:ascii="Times New Roman" w:hAnsi="Times New Roman"/>
          <w:sz w:val="24"/>
          <w:szCs w:val="24"/>
          <w:shd w:val="clear" w:color="auto" w:fill="FFFFFF"/>
        </w:rPr>
        <w:t>il punto 4.1.2 delle Linee Guida Anac n. 4, secondo cui “</w:t>
      </w:r>
      <w:r>
        <w:rPr>
          <w:rStyle w:val="Nessuno"/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La procedura prende avvio con la determina a contrarre ovvero con atto a essa equivalente secondo l’ordinamento della singola stazione appaltante. In applicazione dei principi di imparzialità, parità di trattamento, </w:t>
      </w:r>
      <w:r>
        <w:rPr>
          <w:rStyle w:val="Nessuno"/>
          <w:rFonts w:ascii="Times New Roman" w:hAnsi="Times New Roman"/>
          <w:i/>
          <w:iCs/>
          <w:sz w:val="24"/>
          <w:szCs w:val="24"/>
          <w:shd w:val="clear" w:color="auto" w:fill="FFFFFF"/>
        </w:rPr>
        <w:lastRenderedPageBreak/>
        <w:t>trasparenza, la determina a contrarre ovvero l’atto a essa equivalente contiene, almeno, l’indicazione dell’interesse pubblico che si intende soddisfare, le caratteristiche delle opere, dei beni, dei servizi che si intendono acquistare, l’importo massimo stimato dell’affidamento e la relativa copertura contabile, la procedura che si intende seguire con una sintetica indicazione delle ragioni, i criteri per la selezione degli operatori economici e delle offerte nonché le principali condizioni contrattuali</w:t>
      </w:r>
      <w:r>
        <w:rPr>
          <w:rStyle w:val="Nessuno"/>
          <w:rFonts w:ascii="Times New Roman" w:hAnsi="Times New Roman"/>
          <w:sz w:val="24"/>
          <w:szCs w:val="24"/>
          <w:shd w:val="clear" w:color="auto" w:fill="FFFFFF"/>
        </w:rPr>
        <w:t>”;</w:t>
      </w:r>
    </w:p>
    <w:p w:rsidR="00234FDF" w:rsidRDefault="00EA7030">
      <w:pPr>
        <w:pStyle w:val="Paragrafoelenco"/>
        <w:numPr>
          <w:ilvl w:val="0"/>
          <w:numId w:val="6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Nessuno"/>
          <w:rFonts w:ascii="Times New Roman" w:hAnsi="Times New Roman"/>
          <w:sz w:val="24"/>
          <w:szCs w:val="24"/>
          <w:shd w:val="clear" w:color="auto" w:fill="FFFFFF"/>
        </w:rPr>
        <w:t>l'art. 1, comma 450 della </w:t>
      </w:r>
      <w:hyperlink r:id="rId13" w:history="1">
        <w:r>
          <w:rPr>
            <w:rStyle w:val="Hyperlink0"/>
            <w:rFonts w:ascii="Times New Roman" w:hAnsi="Times New Roman"/>
            <w:sz w:val="24"/>
            <w:szCs w:val="24"/>
          </w:rPr>
          <w:t>legge 27 dicembre 2006, n. 296</w:t>
        </w:r>
      </w:hyperlink>
      <w:r>
        <w:rPr>
          <w:rStyle w:val="Nessuno"/>
          <w:rFonts w:ascii="Times New Roman" w:hAnsi="Times New Roman"/>
          <w:sz w:val="24"/>
          <w:szCs w:val="24"/>
          <w:shd w:val="clear" w:color="auto" w:fill="FFFFFF"/>
        </w:rPr>
        <w:t>, che obbliga le pubbliche amministrazioni a ricorrere al mercato elettronico per forniture di beni e l'acquisto di servizi di importo superiore ai 5.000 euro e inferiore alla soglia di rilievo comunitario</w:t>
      </w:r>
      <w:r>
        <w:rPr>
          <w:rStyle w:val="Hyperlink0"/>
          <w:rFonts w:ascii="Times New Roman" w:hAnsi="Times New Roman"/>
          <w:sz w:val="24"/>
          <w:szCs w:val="24"/>
        </w:rPr>
        <w:t>;</w:t>
      </w:r>
    </w:p>
    <w:p w:rsidR="00234FDF" w:rsidRDefault="00EA7030">
      <w:pPr>
        <w:pStyle w:val="Paragrafoelenco"/>
        <w:numPr>
          <w:ilvl w:val="0"/>
          <w:numId w:val="6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l’art. 36 comma 6 del D.Lgs. n. 50/2016 e successive modifiche e integrazioni che consente alle stazioni appaltanti di gestire le procedure sotto soglia per il tramite del mercato elettronico;</w:t>
      </w:r>
    </w:p>
    <w:p w:rsidR="00234FDF" w:rsidRDefault="00EA7030">
      <w:pPr>
        <w:pStyle w:val="Paragrafoelenco"/>
        <w:numPr>
          <w:ilvl w:val="0"/>
          <w:numId w:val="6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l’art. 40 del D.Lgs. n. 50/2016 sull’ obbligo di uso dei mezzi di comunicazione elettronici nello svolgimento di procedure di aggiudicazione;</w:t>
      </w:r>
    </w:p>
    <w:p w:rsidR="00234FDF" w:rsidRDefault="00EA7030">
      <w:pPr>
        <w:pStyle w:val="Paragrafoelenco"/>
        <w:numPr>
          <w:ilvl w:val="0"/>
          <w:numId w:val="6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la L. n. 136/2010 di Tracciabilità dei flussi finanziari e di richiesta del CIG</w:t>
      </w:r>
    </w:p>
    <w:p w:rsidR="00234FDF" w:rsidRPr="00111547" w:rsidRDefault="00EA7030">
      <w:pPr>
        <w:pStyle w:val="Paragrafoelenco"/>
        <w:numPr>
          <w:ilvl w:val="0"/>
          <w:numId w:val="6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 xml:space="preserve">l’art. 29 del D.L. n. 4/2022, come convertito dalla L. n. 25/2022, sull’obbligo di inserimento nei documenti di gara di tutte le </w:t>
      </w:r>
      <w:r w:rsidRPr="00111547">
        <w:rPr>
          <w:rStyle w:val="Hyperlink0"/>
          <w:rFonts w:ascii="Times New Roman" w:hAnsi="Times New Roman"/>
          <w:sz w:val="24"/>
          <w:szCs w:val="24"/>
        </w:rPr>
        <w:t>procedure indette dal 27.01.2022, della clausola di revisione del prezzo di cui all’art. 106, comma 1, lett. a) del D.Lgs. 50/2016.</w:t>
      </w:r>
    </w:p>
    <w:p w:rsidR="00234FDF" w:rsidRPr="00111547" w:rsidRDefault="00EA7030" w:rsidP="00111547">
      <w:pPr>
        <w:spacing w:line="480" w:lineRule="auto"/>
        <w:ind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1547">
        <w:rPr>
          <w:rStyle w:val="Nessuno"/>
          <w:rFonts w:ascii="Times New Roman" w:hAnsi="Times New Roman"/>
          <w:b/>
          <w:bCs/>
          <w:sz w:val="24"/>
          <w:szCs w:val="24"/>
        </w:rPr>
        <w:t>Tenuto conto che</w:t>
      </w:r>
    </w:p>
    <w:p w:rsidR="00234FDF" w:rsidRPr="00111547" w:rsidRDefault="00EA7030">
      <w:pPr>
        <w:pStyle w:val="Paragrafoelenco"/>
        <w:numPr>
          <w:ilvl w:val="0"/>
          <w:numId w:val="2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 w:rsidRPr="00111547">
        <w:rPr>
          <w:rStyle w:val="Hyperlink0"/>
          <w:rFonts w:ascii="Times New Roman" w:hAnsi="Times New Roman"/>
          <w:sz w:val="24"/>
          <w:szCs w:val="24"/>
        </w:rPr>
        <w:t xml:space="preserve">l’appalto consiste nel </w:t>
      </w:r>
      <w:r w:rsidR="00111547" w:rsidRPr="00111547">
        <w:rPr>
          <w:rStyle w:val="Hyperlink0"/>
          <w:rFonts w:ascii="Times New Roman" w:hAnsi="Times New Roman"/>
          <w:sz w:val="24"/>
          <w:szCs w:val="24"/>
        </w:rPr>
        <w:t>_________</w:t>
      </w:r>
      <w:r w:rsidRPr="00111547">
        <w:rPr>
          <w:rStyle w:val="Hyperlink0"/>
          <w:rFonts w:ascii="Times New Roman" w:hAnsi="Times New Roman"/>
          <w:sz w:val="24"/>
          <w:szCs w:val="24"/>
        </w:rPr>
        <w:t xml:space="preserve"> …  </w:t>
      </w:r>
      <w:r w:rsidRPr="00111547">
        <w:rPr>
          <w:rStyle w:val="Hyperlink0"/>
        </w:rPr>
        <w:t>__________</w:t>
      </w:r>
      <w:r w:rsidRPr="00111547">
        <w:rPr>
          <w:rStyle w:val="Hyperlink0"/>
          <w:rFonts w:ascii="Times New Roman" w:hAnsi="Times New Roman"/>
          <w:sz w:val="24"/>
          <w:szCs w:val="24"/>
        </w:rPr>
        <w:t>(</w:t>
      </w:r>
      <w:r w:rsidRPr="00111547">
        <w:rPr>
          <w:rStyle w:val="Hyperlink0"/>
          <w:i/>
          <w:iCs/>
        </w:rPr>
        <w:t>i</w:t>
      </w:r>
      <w:r w:rsidRPr="00111547">
        <w:rPr>
          <w:rStyle w:val="Hyperlink1"/>
          <w:rFonts w:eastAsia="Arial Unicode MS"/>
          <w:sz w:val="24"/>
          <w:szCs w:val="24"/>
        </w:rPr>
        <w:t>nserire una breve descrizione delle caratteristiche dell’appalto</w:t>
      </w:r>
      <w:r w:rsidRPr="00111547">
        <w:rPr>
          <w:rStyle w:val="Hyperlink0"/>
          <w:rFonts w:ascii="Times New Roman" w:hAnsi="Times New Roman"/>
          <w:sz w:val="24"/>
          <w:szCs w:val="24"/>
        </w:rPr>
        <w:t>), il tutto come meglio specificato nell’allegato disciplinare del servizio stesso;</w:t>
      </w:r>
    </w:p>
    <w:p w:rsidR="00234FDF" w:rsidRPr="00111547" w:rsidRDefault="00EA7030">
      <w:pPr>
        <w:pStyle w:val="Paragrafoelenco"/>
        <w:numPr>
          <w:ilvl w:val="0"/>
          <w:numId w:val="2"/>
        </w:numPr>
        <w:spacing w:line="480" w:lineRule="auto"/>
        <w:ind w:right="62"/>
        <w:jc w:val="both"/>
        <w:rPr>
          <w:rStyle w:val="Hyperlink0"/>
        </w:rPr>
      </w:pPr>
      <w:r w:rsidRPr="00111547">
        <w:rPr>
          <w:rStyle w:val="Hyperlink0"/>
          <w:rFonts w:ascii="Times New Roman" w:hAnsi="Times New Roman"/>
          <w:sz w:val="24"/>
          <w:szCs w:val="24"/>
        </w:rPr>
        <w:lastRenderedPageBreak/>
        <w:t xml:space="preserve">occorre pertanto procedere all’affidamento del </w:t>
      </w:r>
      <w:r w:rsidRPr="00111547">
        <w:rPr>
          <w:rStyle w:val="Hyperlink0"/>
        </w:rPr>
        <w:t xml:space="preserve">seguente servizio </w:t>
      </w:r>
      <w:r w:rsidR="00111547" w:rsidRPr="00111547">
        <w:rPr>
          <w:rStyle w:val="Hyperlink0"/>
        </w:rPr>
        <w:t>__________</w:t>
      </w:r>
      <w:r w:rsidRPr="00111547">
        <w:rPr>
          <w:rStyle w:val="Hyperlink0"/>
        </w:rPr>
        <w:t xml:space="preserve"> per un periodo di_________.anni, </w:t>
      </w:r>
    </w:p>
    <w:p w:rsidR="00234FDF" w:rsidRPr="00111547" w:rsidRDefault="00EA7030">
      <w:pPr>
        <w:pStyle w:val="Paragrafoelenco"/>
        <w:numPr>
          <w:ilvl w:val="0"/>
          <w:numId w:val="2"/>
        </w:numPr>
        <w:spacing w:line="480" w:lineRule="auto"/>
        <w:ind w:right="62"/>
        <w:jc w:val="both"/>
        <w:rPr>
          <w:rStyle w:val="Hyperlink0"/>
        </w:rPr>
      </w:pPr>
      <w:r w:rsidRPr="00111547">
        <w:rPr>
          <w:rStyle w:val="Hyperlink0"/>
        </w:rPr>
        <w:t>l’importo stimato del predetto appalto è pari a €____________, oltre oneri della sicurezza non soggetti a ribasso pari a €__________ oltre Iva.</w:t>
      </w:r>
    </w:p>
    <w:p w:rsidR="00234FDF" w:rsidRDefault="00EA7030">
      <w:pPr>
        <w:spacing w:line="480" w:lineRule="auto"/>
        <w:ind w:right="62"/>
        <w:jc w:val="both"/>
        <w:rPr>
          <w:rStyle w:val="Nessuno"/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1547">
        <w:rPr>
          <w:rStyle w:val="Nessuno"/>
          <w:rFonts w:ascii="Times New Roman" w:hAnsi="Times New Roman"/>
          <w:b/>
          <w:bCs/>
          <w:sz w:val="24"/>
          <w:szCs w:val="24"/>
        </w:rPr>
        <w:t>Dato atto che</w:t>
      </w:r>
    </w:p>
    <w:p w:rsidR="00234FDF" w:rsidRDefault="00EA7030">
      <w:pPr>
        <w:pStyle w:val="Paragrafoelenco"/>
        <w:numPr>
          <w:ilvl w:val="0"/>
          <w:numId w:val="2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l'importo dell'appalto è inferiore alla soglia di € 139.000,00 prevista dall’art. 1 comma 2 lett. a) del D.L. 76/2020 convertito in Legge 120/2020, come modificato e integrato dal D.L. 77/2021 convertito dalla Legge 108/2021;</w:t>
      </w:r>
    </w:p>
    <w:p w:rsidR="00234FDF" w:rsidRDefault="00EA7030">
      <w:pPr>
        <w:pStyle w:val="Paragrafoelenco"/>
        <w:numPr>
          <w:ilvl w:val="0"/>
          <w:numId w:val="2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l’appalto verrà affidato mediante affidamento diretto, senza consultazione di più operatori economici, ai sensi dell’art. 1 comma 2 lett. a) del D.L. 76/2020 convertito in Legge 120/2020, come modificato e integrato dal D.L. 77/2021 convertito dalla Legge 108/2021;</w:t>
      </w:r>
    </w:p>
    <w:p w:rsidR="00234FDF" w:rsidRDefault="00EA7030">
      <w:pPr>
        <w:pStyle w:val="Paragrafoelenco"/>
        <w:numPr>
          <w:ilvl w:val="0"/>
          <w:numId w:val="2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l’appalto non può essere suddiviso in lotti in quanto trattasi di servizio ontologicamente non frazionabile</w:t>
      </w:r>
      <w:r>
        <w:rPr>
          <w:rStyle w:val="Hyperlink1"/>
          <w:rFonts w:eastAsia="Arial Unicode MS"/>
          <w:sz w:val="24"/>
          <w:szCs w:val="24"/>
        </w:rPr>
        <w:t>;</w:t>
      </w:r>
    </w:p>
    <w:p w:rsidR="00234FDF" w:rsidRDefault="00EA7030">
      <w:pPr>
        <w:pStyle w:val="Paragrafoelenco"/>
        <w:numPr>
          <w:ilvl w:val="0"/>
          <w:numId w:val="2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verrà selezionato un operatore economico in possesso dei requisiti di ordine generale ai sensi dell’art. 80 del D.Lgs. 50/2016, di idoneità professionale ex art. 83 comma 1 lett. a) del D.Lgs. 50/2016,</w:t>
      </w:r>
      <w:r>
        <w:rPr>
          <w:rStyle w:val="Hyperlink1"/>
          <w:rFonts w:eastAsia="Arial Unicode MS"/>
          <w:sz w:val="24"/>
          <w:szCs w:val="24"/>
        </w:rPr>
        <w:t>;</w:t>
      </w:r>
    </w:p>
    <w:p w:rsidR="00234FDF" w:rsidRDefault="00EA7030">
      <w:pPr>
        <w:pStyle w:val="Paragrafoelenco"/>
        <w:numPr>
          <w:ilvl w:val="0"/>
          <w:numId w:val="2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la selezione dell’operatore economico avverrà nel rispetto dei principi di cui all’art. 30 del D.Lgs. 50/2016;</w:t>
      </w:r>
    </w:p>
    <w:p w:rsidR="00234FDF" w:rsidRDefault="00EA7030">
      <w:pPr>
        <w:pStyle w:val="Paragrafoelenco"/>
        <w:numPr>
          <w:ilvl w:val="0"/>
          <w:numId w:val="2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 xml:space="preserve">l’aggiudicazione del servizio/fornitura avverrà nei confronti dell’operatore economico selezionato in possesso dei requisiti richiesti nella presente determina a contrarre, la cui offerta sia congrua in rapporto alla qualità della prestazione, abbia eventualmente caratteristiche migliorative rispetto a quelle minime stabilite dalla lex specialis, e risponda all’interesse </w:t>
      </w:r>
      <w:r>
        <w:rPr>
          <w:rStyle w:val="Hyperlink0"/>
          <w:rFonts w:ascii="Times New Roman" w:hAnsi="Times New Roman"/>
          <w:sz w:val="24"/>
          <w:szCs w:val="24"/>
        </w:rPr>
        <w:lastRenderedPageBreak/>
        <w:t>pubblico che la stazione appaltante intende soddisfare. L’aggiudicazione sarà disposta, inoltre, nel rispetto del principio di rotazione;</w:t>
      </w:r>
    </w:p>
    <w:p w:rsidR="00234FDF" w:rsidRDefault="00EA7030">
      <w:pPr>
        <w:pStyle w:val="Paragrafoelenco"/>
        <w:numPr>
          <w:ilvl w:val="0"/>
          <w:numId w:val="2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la copertura finanziaria è garantita mediante prenotazione di spesa sui capitoli dei bilanci</w:t>
      </w:r>
      <w:r w:rsidRPr="00111547">
        <w:rPr>
          <w:rStyle w:val="Hyperlink0"/>
        </w:rPr>
        <w:t>_______</w:t>
      </w:r>
      <w:r>
        <w:rPr>
          <w:rStyle w:val="Hyperlink0"/>
          <w:rFonts w:ascii="Times New Roman" w:hAnsi="Times New Roman"/>
          <w:sz w:val="24"/>
          <w:szCs w:val="24"/>
        </w:rPr>
        <w:t>;</w:t>
      </w:r>
    </w:p>
    <w:p w:rsidR="00234FDF" w:rsidRDefault="00EA7030">
      <w:pPr>
        <w:spacing w:line="480" w:lineRule="auto"/>
        <w:ind w:right="62"/>
        <w:jc w:val="both"/>
        <w:rPr>
          <w:rStyle w:val="Nessuno"/>
          <w:rFonts w:ascii="Times New Roman" w:eastAsia="Times New Roman" w:hAnsi="Times New Roman" w:cs="Times New Roman"/>
          <w:sz w:val="24"/>
          <w:szCs w:val="24"/>
        </w:rPr>
      </w:pPr>
      <w:r>
        <w:rPr>
          <w:rStyle w:val="Nessuno"/>
          <w:rFonts w:ascii="Times New Roman" w:hAnsi="Times New Roman"/>
          <w:b/>
          <w:bCs/>
          <w:kern w:val="3"/>
          <w:sz w:val="24"/>
          <w:szCs w:val="24"/>
        </w:rPr>
        <w:t>Ravvisata</w:t>
      </w:r>
      <w:r>
        <w:rPr>
          <w:rStyle w:val="Nessuno"/>
          <w:rFonts w:ascii="Times New Roman" w:hAnsi="Times New Roman"/>
          <w:kern w:val="3"/>
          <w:sz w:val="24"/>
          <w:szCs w:val="24"/>
        </w:rPr>
        <w:t xml:space="preserve">, </w:t>
      </w:r>
      <w:r>
        <w:rPr>
          <w:rStyle w:val="Nessuno"/>
          <w:rFonts w:ascii="Times New Roman" w:hAnsi="Times New Roman"/>
          <w:sz w:val="24"/>
          <w:szCs w:val="24"/>
        </w:rPr>
        <w:t>pertanto, la necessità di attivare le procedure necessarie per garantire l’acquisizione del servizio di Tesoreria per la neo-istituita ATIM;</w:t>
      </w:r>
    </w:p>
    <w:p w:rsidR="00234FDF" w:rsidRDefault="00EA7030">
      <w:pPr>
        <w:spacing w:line="480" w:lineRule="auto"/>
        <w:ind w:right="62"/>
        <w:jc w:val="both"/>
        <w:rPr>
          <w:rStyle w:val="Nessuno"/>
          <w:rFonts w:ascii="Times New Roman" w:eastAsia="Times New Roman" w:hAnsi="Times New Roman" w:cs="Times New Roman"/>
          <w:sz w:val="24"/>
          <w:szCs w:val="24"/>
        </w:rPr>
      </w:pPr>
      <w:r>
        <w:rPr>
          <w:rStyle w:val="Nessuno"/>
          <w:rFonts w:ascii="Times New Roman" w:hAnsi="Times New Roman"/>
          <w:kern w:val="3"/>
          <w:sz w:val="24"/>
          <w:szCs w:val="24"/>
        </w:rPr>
        <w:t>Tutto ciò premesso</w:t>
      </w:r>
    </w:p>
    <w:p w:rsidR="00234FDF" w:rsidRDefault="00EA7030">
      <w:pPr>
        <w:spacing w:line="480" w:lineRule="auto"/>
        <w:ind w:right="62"/>
        <w:jc w:val="center"/>
        <w:rPr>
          <w:rStyle w:val="Nessuno"/>
          <w:rFonts w:ascii="Times New Roman" w:eastAsia="Times New Roman" w:hAnsi="Times New Roman" w:cs="Times New Roman"/>
          <w:sz w:val="24"/>
          <w:szCs w:val="24"/>
        </w:rPr>
      </w:pPr>
      <w:r>
        <w:rPr>
          <w:rStyle w:val="Nessuno"/>
          <w:rFonts w:ascii="Times New Roman" w:hAnsi="Times New Roman"/>
          <w:b/>
          <w:bCs/>
          <w:kern w:val="3"/>
          <w:sz w:val="24"/>
          <w:szCs w:val="24"/>
        </w:rPr>
        <w:t>DETERMINA</w:t>
      </w:r>
    </w:p>
    <w:p w:rsidR="00234FDF" w:rsidRDefault="00EA7030">
      <w:pPr>
        <w:pStyle w:val="Paragrafoelenco"/>
        <w:numPr>
          <w:ilvl w:val="0"/>
          <w:numId w:val="8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Che le premesse fanno parte integrante e sostanziale del presente atto;</w:t>
      </w:r>
    </w:p>
    <w:p w:rsidR="00234FDF" w:rsidRDefault="00EA7030">
      <w:pPr>
        <w:pStyle w:val="Paragrafoelenco"/>
        <w:numPr>
          <w:ilvl w:val="0"/>
          <w:numId w:val="8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 xml:space="preserve">Di affidare il </w:t>
      </w:r>
      <w:r w:rsidR="00111547">
        <w:rPr>
          <w:rStyle w:val="Hyperlink0"/>
          <w:rFonts w:ascii="Times New Roman" w:hAnsi="Times New Roman"/>
          <w:sz w:val="24"/>
          <w:szCs w:val="24"/>
        </w:rPr>
        <w:t>____________</w:t>
      </w:r>
      <w:r>
        <w:rPr>
          <w:rStyle w:val="Hyperlink0"/>
          <w:rFonts w:ascii="Times New Roman" w:hAnsi="Times New Roman"/>
          <w:sz w:val="24"/>
          <w:szCs w:val="24"/>
        </w:rPr>
        <w:t xml:space="preserve"> (in sigla: </w:t>
      </w:r>
      <w:r w:rsidR="00111547">
        <w:rPr>
          <w:rStyle w:val="Hyperlink0"/>
          <w:rFonts w:ascii="Times New Roman" w:hAnsi="Times New Roman"/>
          <w:sz w:val="24"/>
          <w:szCs w:val="24"/>
        </w:rPr>
        <w:t>_______</w:t>
      </w:r>
      <w:r>
        <w:rPr>
          <w:rStyle w:val="Hyperlink0"/>
          <w:rFonts w:ascii="Times New Roman" w:hAnsi="Times New Roman"/>
          <w:sz w:val="24"/>
          <w:szCs w:val="24"/>
        </w:rPr>
        <w:t>) per un periodo di</w:t>
      </w:r>
      <w:r w:rsidRPr="00111547">
        <w:rPr>
          <w:rStyle w:val="Hyperlink0"/>
        </w:rPr>
        <w:t>___________</w:t>
      </w:r>
      <w:r>
        <w:rPr>
          <w:rStyle w:val="Hyperlink0"/>
          <w:rFonts w:ascii="Times New Roman" w:hAnsi="Times New Roman"/>
          <w:sz w:val="24"/>
          <w:szCs w:val="24"/>
        </w:rPr>
        <w:t>anni, mediante affidamento diretto, senza consultazione di più operatori economici, ai sensi dell’art. 1 comma 2 lett. a) del D.L. 76/2020 convertito in Legge 120/2020, come modificato e integrato dal D.L. 77/2021 convertito dalla Legge 108/2021;</w:t>
      </w:r>
    </w:p>
    <w:p w:rsidR="00234FDF" w:rsidRDefault="00EA7030">
      <w:pPr>
        <w:pStyle w:val="Paragrafoelenco"/>
        <w:numPr>
          <w:ilvl w:val="0"/>
          <w:numId w:val="8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 xml:space="preserve">Di stabilire che il valore complessivo stimato dell’appalto è pari </w:t>
      </w:r>
      <w:r w:rsidRPr="00111547">
        <w:rPr>
          <w:rStyle w:val="Hyperlink0"/>
          <w:rFonts w:ascii="Times New Roman" w:hAnsi="Times New Roman"/>
          <w:sz w:val="24"/>
          <w:szCs w:val="24"/>
        </w:rPr>
        <w:t>a €</w:t>
      </w:r>
      <w:r w:rsidRPr="00111547">
        <w:rPr>
          <w:rStyle w:val="Hyperlink0"/>
        </w:rPr>
        <w:t>_________</w:t>
      </w:r>
      <w:r>
        <w:rPr>
          <w:rStyle w:val="Hyperlink0"/>
          <w:rFonts w:ascii="Times New Roman" w:hAnsi="Times New Roman"/>
          <w:sz w:val="24"/>
          <w:szCs w:val="24"/>
        </w:rPr>
        <w:t xml:space="preserve">oltre oneri di sicurezza non soggetti a ribasso e Iva, e che sul citato importo l’operatore economico dovrà applicare il ribasso percentuale; </w:t>
      </w:r>
    </w:p>
    <w:p w:rsidR="00234FDF" w:rsidRDefault="00EA7030">
      <w:pPr>
        <w:pStyle w:val="Paragrafoelenco"/>
        <w:numPr>
          <w:ilvl w:val="0"/>
          <w:numId w:val="8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Di individuare un operatore economico, in possesso dei requisiti di ordine generale ai sensi dell'art. 80 del D.Lgs. 50/2016, di idoneità professionale ex art. 83 comma 1 lett. a ) del D.Lgs. 50/2016;</w:t>
      </w:r>
    </w:p>
    <w:p w:rsidR="00234FDF" w:rsidRDefault="00EA7030">
      <w:pPr>
        <w:pStyle w:val="Paragrafoelenco"/>
        <w:numPr>
          <w:ilvl w:val="0"/>
          <w:numId w:val="8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Di far fronte alla spesa complessiva, come stimata, con i seguenti capitoli dei bilanci_</w:t>
      </w:r>
      <w:r w:rsidRPr="00111547">
        <w:rPr>
          <w:rStyle w:val="Hyperlink0"/>
        </w:rPr>
        <w:t>_________</w:t>
      </w:r>
      <w:r>
        <w:rPr>
          <w:rStyle w:val="Hyperlink0"/>
          <w:rFonts w:ascii="Times New Roman" w:hAnsi="Times New Roman"/>
          <w:sz w:val="24"/>
          <w:szCs w:val="24"/>
        </w:rPr>
        <w:t>;</w:t>
      </w:r>
    </w:p>
    <w:p w:rsidR="00234FDF" w:rsidRDefault="00EA7030">
      <w:pPr>
        <w:pStyle w:val="Paragrafoelenco"/>
        <w:numPr>
          <w:ilvl w:val="0"/>
          <w:numId w:val="8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 xml:space="preserve">Che la fonte di finanziamento è </w:t>
      </w:r>
      <w:r w:rsidRPr="00111547">
        <w:rPr>
          <w:rStyle w:val="Hyperlink0"/>
        </w:rPr>
        <w:t>________________</w:t>
      </w:r>
      <w:r>
        <w:rPr>
          <w:rStyle w:val="Hyperlink0"/>
          <w:rFonts w:ascii="Times New Roman" w:hAnsi="Times New Roman"/>
          <w:sz w:val="24"/>
          <w:szCs w:val="24"/>
        </w:rPr>
        <w:t>;</w:t>
      </w:r>
    </w:p>
    <w:p w:rsidR="00234FDF" w:rsidRDefault="00EA7030">
      <w:pPr>
        <w:pStyle w:val="Paragrafoelenco"/>
        <w:numPr>
          <w:ilvl w:val="0"/>
          <w:numId w:val="8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lastRenderedPageBreak/>
        <w:t xml:space="preserve">Di approvare il disciplinare del </w:t>
      </w:r>
      <w:r w:rsidR="00111547">
        <w:rPr>
          <w:rStyle w:val="Hyperlink0"/>
          <w:rFonts w:ascii="Times New Roman" w:hAnsi="Times New Roman"/>
          <w:sz w:val="24"/>
          <w:szCs w:val="24"/>
        </w:rPr>
        <w:t>___________</w:t>
      </w:r>
      <w:r>
        <w:rPr>
          <w:rStyle w:val="Hyperlink0"/>
          <w:rFonts w:ascii="Times New Roman" w:hAnsi="Times New Roman"/>
          <w:sz w:val="24"/>
          <w:szCs w:val="24"/>
        </w:rPr>
        <w:t>, la lettera di invito recante</w:t>
      </w:r>
      <w:r>
        <w:rPr>
          <w:rStyle w:val="Nessuno"/>
          <w:rFonts w:ascii="Times New Roman" w:hAnsi="Times New Roman"/>
          <w:b/>
          <w:bCs/>
          <w:sz w:val="24"/>
          <w:szCs w:val="24"/>
        </w:rPr>
        <w:t xml:space="preserve"> “</w:t>
      </w:r>
      <w:r>
        <w:rPr>
          <w:rStyle w:val="Hyperlink1"/>
          <w:rFonts w:eastAsia="Arial Unicode MS"/>
          <w:sz w:val="24"/>
          <w:szCs w:val="24"/>
        </w:rPr>
        <w:t xml:space="preserve">Richiesta di offerta per l’affidamento del </w:t>
      </w:r>
      <w:r w:rsidR="00111547">
        <w:rPr>
          <w:rStyle w:val="Hyperlink1"/>
          <w:rFonts w:eastAsia="Arial Unicode MS"/>
          <w:sz w:val="24"/>
          <w:szCs w:val="24"/>
        </w:rPr>
        <w:t>__________</w:t>
      </w:r>
      <w:r>
        <w:rPr>
          <w:rStyle w:val="Hyperlink1"/>
          <w:rFonts w:eastAsia="Arial Unicode MS"/>
          <w:sz w:val="24"/>
          <w:szCs w:val="24"/>
        </w:rPr>
        <w:t>, mediante affidamento diretto ex art. 1 comma 2 lett. a) del Decreto Legge 76/20202 convertito dalla Legge 120/2020 - cig:</w:t>
      </w:r>
      <w:r w:rsidRPr="00111547">
        <w:rPr>
          <w:rStyle w:val="Hyperlink0"/>
        </w:rPr>
        <w:t>__________</w:t>
      </w:r>
      <w:r>
        <w:rPr>
          <w:rStyle w:val="Nessuno"/>
          <w:rFonts w:ascii="Times New Roman" w:hAnsi="Times New Roman"/>
          <w:i/>
          <w:iCs/>
          <w:sz w:val="24"/>
          <w:szCs w:val="24"/>
          <w:shd w:val="clear" w:color="auto" w:fill="FFFF00"/>
        </w:rPr>
        <w:t>_</w:t>
      </w:r>
      <w:r>
        <w:rPr>
          <w:rStyle w:val="Hyperlink1"/>
          <w:rFonts w:eastAsia="Arial Unicode MS"/>
          <w:sz w:val="24"/>
          <w:szCs w:val="24"/>
        </w:rPr>
        <w:t>,</w:t>
      </w:r>
      <w:r>
        <w:rPr>
          <w:rStyle w:val="Hyperlink0"/>
          <w:rFonts w:ascii="Times New Roman" w:hAnsi="Times New Roman"/>
          <w:sz w:val="24"/>
          <w:szCs w:val="24"/>
        </w:rPr>
        <w:t xml:space="preserve"> e la modulistica allegata;</w:t>
      </w:r>
    </w:p>
    <w:p w:rsidR="00234FDF" w:rsidRDefault="00EA7030">
      <w:pPr>
        <w:pStyle w:val="Paragrafoelenco"/>
        <w:numPr>
          <w:ilvl w:val="0"/>
          <w:numId w:val="8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Di disporre che il contratto verrà perfezionato attraverso le modalità previste dall’articolo 32 comma 14 del d. Lgs. 50/2016;</w:t>
      </w:r>
    </w:p>
    <w:p w:rsidR="00234FDF" w:rsidRPr="00111547" w:rsidRDefault="00EA7030">
      <w:pPr>
        <w:pStyle w:val="Paragrafoelenco"/>
        <w:numPr>
          <w:ilvl w:val="0"/>
          <w:numId w:val="8"/>
        </w:numPr>
        <w:spacing w:line="480" w:lineRule="auto"/>
        <w:ind w:right="62"/>
        <w:jc w:val="both"/>
        <w:rPr>
          <w:rStyle w:val="Hyperlink0"/>
        </w:rPr>
      </w:pPr>
      <w:r>
        <w:rPr>
          <w:rStyle w:val="Hyperlink0"/>
          <w:rFonts w:ascii="Times New Roman" w:hAnsi="Times New Roman"/>
          <w:sz w:val="24"/>
          <w:szCs w:val="24"/>
        </w:rPr>
        <w:t>Di rendere noto che ai sensi dell’art. 31 del D.Lgs 50/2016 il Responsabile Unico del Procedimento (R.U.P) è il</w:t>
      </w:r>
      <w:r w:rsidRPr="00111547">
        <w:rPr>
          <w:rStyle w:val="Hyperlink0"/>
        </w:rPr>
        <w:t>___________;</w:t>
      </w:r>
    </w:p>
    <w:p w:rsidR="00234FDF" w:rsidRDefault="00EA7030">
      <w:pPr>
        <w:pStyle w:val="Paragrafoelenco"/>
        <w:numPr>
          <w:ilvl w:val="0"/>
          <w:numId w:val="8"/>
        </w:numPr>
        <w:spacing w:line="480" w:lineRule="auto"/>
        <w:ind w:right="62"/>
        <w:jc w:val="both"/>
        <w:rPr>
          <w:rFonts w:ascii="Times New Roman" w:hAnsi="Times New Roman"/>
          <w:sz w:val="24"/>
          <w:szCs w:val="24"/>
        </w:rPr>
      </w:pPr>
      <w:r>
        <w:rPr>
          <w:rStyle w:val="Hyperlink0"/>
          <w:rFonts w:ascii="Times New Roman" w:hAnsi="Times New Roman"/>
          <w:sz w:val="24"/>
          <w:szCs w:val="24"/>
        </w:rPr>
        <w:t>Di pubblicare la presente determinazione sul profilo committente, sezione “Amministrazione trasparente”, della Stazione appaltante.</w:t>
      </w:r>
    </w:p>
    <w:p w:rsidR="00234FDF" w:rsidRDefault="00234FDF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480" w:lineRule="auto"/>
        <w:ind w:right="62"/>
        <w:jc w:val="both"/>
        <w:rPr>
          <w:rStyle w:val="Nessuno"/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34FDF" w:rsidRDefault="00EA7030">
      <w:pPr>
        <w:spacing w:line="480" w:lineRule="auto"/>
        <w:ind w:right="62"/>
        <w:jc w:val="both"/>
        <w:rPr>
          <w:rStyle w:val="Nessuno"/>
          <w:rFonts w:ascii="Times New Roman" w:eastAsia="Times New Roman" w:hAnsi="Times New Roman" w:cs="Times New Roman"/>
          <w:sz w:val="24"/>
          <w:szCs w:val="24"/>
        </w:rPr>
      </w:pPr>
      <w:r>
        <w:rPr>
          <w:rStyle w:val="Nessuno"/>
          <w:rFonts w:ascii="Times New Roman" w:hAnsi="Times New Roman"/>
          <w:sz w:val="24"/>
          <w:szCs w:val="24"/>
        </w:rPr>
        <w:t xml:space="preserve">Il Dirigente </w:t>
      </w:r>
    </w:p>
    <w:p w:rsidR="00234FDF" w:rsidRDefault="00234FDF">
      <w:pPr>
        <w:spacing w:line="480" w:lineRule="auto"/>
        <w:ind w:right="62"/>
        <w:jc w:val="both"/>
        <w:rPr>
          <w:rStyle w:val="Nessuno"/>
          <w:rFonts w:ascii="Times New Roman" w:eastAsia="Times New Roman" w:hAnsi="Times New Roman" w:cs="Times New Roman"/>
          <w:sz w:val="24"/>
          <w:szCs w:val="24"/>
        </w:rPr>
      </w:pPr>
    </w:p>
    <w:p w:rsidR="00234FDF" w:rsidRDefault="00234FDF">
      <w:pPr>
        <w:spacing w:line="480" w:lineRule="auto"/>
        <w:ind w:right="62"/>
      </w:pPr>
    </w:p>
    <w:sectPr w:rsidR="00234FDF">
      <w:pgSz w:w="11900" w:h="16840"/>
      <w:pgMar w:top="1545" w:right="1067" w:bottom="1470" w:left="1132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A7F" w:rsidRDefault="00EA7030">
      <w:pPr>
        <w:spacing w:line="240" w:lineRule="auto"/>
      </w:pPr>
      <w:r>
        <w:separator/>
      </w:r>
    </w:p>
  </w:endnote>
  <w:endnote w:type="continuationSeparator" w:id="0">
    <w:p w:rsidR="00111A7F" w:rsidRDefault="00EA70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A7F" w:rsidRDefault="00EA7030">
      <w:pPr>
        <w:spacing w:line="240" w:lineRule="auto"/>
      </w:pPr>
      <w:r>
        <w:separator/>
      </w:r>
    </w:p>
  </w:footnote>
  <w:footnote w:type="continuationSeparator" w:id="0">
    <w:p w:rsidR="00111A7F" w:rsidRDefault="00EA70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94E6C"/>
    <w:multiLevelType w:val="hybridMultilevel"/>
    <w:tmpl w:val="895609EE"/>
    <w:styleLink w:val="Stileimportato3"/>
    <w:lvl w:ilvl="0" w:tplc="4900FD48">
      <w:start w:val="1"/>
      <w:numFmt w:val="bullet"/>
      <w:lvlText w:val="-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D0ADCDA">
      <w:start w:val="1"/>
      <w:numFmt w:val="bullet"/>
      <w:lvlText w:val="o"/>
      <w:lvlJc w:val="left"/>
      <w:pPr>
        <w:ind w:left="128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02F9CE">
      <w:start w:val="1"/>
      <w:numFmt w:val="bullet"/>
      <w:lvlText w:val="▪"/>
      <w:lvlJc w:val="left"/>
      <w:pPr>
        <w:ind w:left="200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70E3B0">
      <w:start w:val="1"/>
      <w:numFmt w:val="bullet"/>
      <w:lvlText w:val="•"/>
      <w:lvlJc w:val="left"/>
      <w:pPr>
        <w:ind w:left="272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8E8C416">
      <w:start w:val="1"/>
      <w:numFmt w:val="bullet"/>
      <w:lvlText w:val="o"/>
      <w:lvlJc w:val="left"/>
      <w:pPr>
        <w:ind w:left="344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0548D44">
      <w:start w:val="1"/>
      <w:numFmt w:val="bullet"/>
      <w:lvlText w:val="▪"/>
      <w:lvlJc w:val="left"/>
      <w:pPr>
        <w:ind w:left="41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64EDB6A">
      <w:start w:val="1"/>
      <w:numFmt w:val="bullet"/>
      <w:lvlText w:val="•"/>
      <w:lvlJc w:val="left"/>
      <w:pPr>
        <w:ind w:left="488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E42B80">
      <w:start w:val="1"/>
      <w:numFmt w:val="bullet"/>
      <w:lvlText w:val="o"/>
      <w:lvlJc w:val="left"/>
      <w:pPr>
        <w:ind w:left="560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79211B6">
      <w:start w:val="1"/>
      <w:numFmt w:val="bullet"/>
      <w:lvlText w:val="▪"/>
      <w:lvlJc w:val="left"/>
      <w:pPr>
        <w:ind w:left="632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4BD54B2"/>
    <w:multiLevelType w:val="hybridMultilevel"/>
    <w:tmpl w:val="D84C72B8"/>
    <w:styleLink w:val="Stileimportato4"/>
    <w:lvl w:ilvl="0" w:tplc="6BD40258">
      <w:start w:val="1"/>
      <w:numFmt w:val="bullet"/>
      <w:lvlText w:val="-"/>
      <w:lvlJc w:val="left"/>
      <w:pPr>
        <w:ind w:left="567" w:hanging="567"/>
      </w:pPr>
      <w:rPr>
        <w:rFonts w:ascii="Garamond" w:eastAsia="Garamond" w:hAnsi="Garamond" w:cs="Garamond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F497D"/>
        <w:spacing w:val="0"/>
        <w:w w:val="100"/>
        <w:kern w:val="0"/>
        <w:position w:val="0"/>
        <w:sz w:val="32"/>
        <w:szCs w:val="32"/>
        <w:highlight w:val="none"/>
        <w:vertAlign w:val="baseline"/>
      </w:rPr>
    </w:lvl>
    <w:lvl w:ilvl="1" w:tplc="5888CE3E">
      <w:start w:val="1"/>
      <w:numFmt w:val="bullet"/>
      <w:lvlText w:val="o"/>
      <w:lvlJc w:val="left"/>
      <w:pPr>
        <w:ind w:left="1287" w:hanging="567"/>
      </w:pPr>
      <w:rPr>
        <w:rFonts w:ascii="Garamond" w:eastAsia="Garamond" w:hAnsi="Garamond" w:cs="Garamond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F497D"/>
        <w:spacing w:val="0"/>
        <w:w w:val="100"/>
        <w:kern w:val="0"/>
        <w:position w:val="0"/>
        <w:highlight w:val="none"/>
        <w:vertAlign w:val="baseline"/>
      </w:rPr>
    </w:lvl>
    <w:lvl w:ilvl="2" w:tplc="B16878A2">
      <w:start w:val="1"/>
      <w:numFmt w:val="bullet"/>
      <w:lvlText w:val="▪"/>
      <w:lvlJc w:val="left"/>
      <w:pPr>
        <w:ind w:left="2007" w:hanging="567"/>
      </w:pPr>
      <w:rPr>
        <w:rFonts w:ascii="Garamond" w:eastAsia="Garamond" w:hAnsi="Garamond" w:cs="Garamond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F497D"/>
        <w:spacing w:val="0"/>
        <w:w w:val="100"/>
        <w:kern w:val="0"/>
        <w:position w:val="0"/>
        <w:highlight w:val="none"/>
        <w:vertAlign w:val="baseline"/>
      </w:rPr>
    </w:lvl>
    <w:lvl w:ilvl="3" w:tplc="71765A2A">
      <w:start w:val="1"/>
      <w:numFmt w:val="bullet"/>
      <w:lvlText w:val="•"/>
      <w:lvlJc w:val="left"/>
      <w:pPr>
        <w:ind w:left="2727" w:hanging="567"/>
      </w:pPr>
      <w:rPr>
        <w:rFonts w:ascii="Garamond" w:eastAsia="Garamond" w:hAnsi="Garamond" w:cs="Garamond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F497D"/>
        <w:spacing w:val="0"/>
        <w:w w:val="100"/>
        <w:kern w:val="0"/>
        <w:position w:val="0"/>
        <w:highlight w:val="none"/>
        <w:vertAlign w:val="baseline"/>
      </w:rPr>
    </w:lvl>
    <w:lvl w:ilvl="4" w:tplc="5A5CD8B8">
      <w:start w:val="1"/>
      <w:numFmt w:val="bullet"/>
      <w:lvlText w:val="o"/>
      <w:lvlJc w:val="left"/>
      <w:pPr>
        <w:ind w:left="3447" w:hanging="567"/>
      </w:pPr>
      <w:rPr>
        <w:rFonts w:ascii="Garamond" w:eastAsia="Garamond" w:hAnsi="Garamond" w:cs="Garamond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F497D"/>
        <w:spacing w:val="0"/>
        <w:w w:val="100"/>
        <w:kern w:val="0"/>
        <w:position w:val="0"/>
        <w:highlight w:val="none"/>
        <w:vertAlign w:val="baseline"/>
      </w:rPr>
    </w:lvl>
    <w:lvl w:ilvl="5" w:tplc="9274CF2C">
      <w:start w:val="1"/>
      <w:numFmt w:val="bullet"/>
      <w:lvlText w:val="▪"/>
      <w:lvlJc w:val="left"/>
      <w:pPr>
        <w:ind w:left="4167" w:hanging="567"/>
      </w:pPr>
      <w:rPr>
        <w:rFonts w:ascii="Garamond" w:eastAsia="Garamond" w:hAnsi="Garamond" w:cs="Garamond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F497D"/>
        <w:spacing w:val="0"/>
        <w:w w:val="100"/>
        <w:kern w:val="0"/>
        <w:position w:val="0"/>
        <w:highlight w:val="none"/>
        <w:vertAlign w:val="baseline"/>
      </w:rPr>
    </w:lvl>
    <w:lvl w:ilvl="6" w:tplc="777ADFD0">
      <w:start w:val="1"/>
      <w:numFmt w:val="bullet"/>
      <w:lvlText w:val="•"/>
      <w:lvlJc w:val="left"/>
      <w:pPr>
        <w:ind w:left="4887" w:hanging="567"/>
      </w:pPr>
      <w:rPr>
        <w:rFonts w:ascii="Garamond" w:eastAsia="Garamond" w:hAnsi="Garamond" w:cs="Garamond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F497D"/>
        <w:spacing w:val="0"/>
        <w:w w:val="100"/>
        <w:kern w:val="0"/>
        <w:position w:val="0"/>
        <w:highlight w:val="none"/>
        <w:vertAlign w:val="baseline"/>
      </w:rPr>
    </w:lvl>
    <w:lvl w:ilvl="7" w:tplc="CF62728C">
      <w:start w:val="1"/>
      <w:numFmt w:val="bullet"/>
      <w:lvlText w:val="o"/>
      <w:lvlJc w:val="left"/>
      <w:pPr>
        <w:ind w:left="5607" w:hanging="567"/>
      </w:pPr>
      <w:rPr>
        <w:rFonts w:ascii="Garamond" w:eastAsia="Garamond" w:hAnsi="Garamond" w:cs="Garamond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F497D"/>
        <w:spacing w:val="0"/>
        <w:w w:val="100"/>
        <w:kern w:val="0"/>
        <w:position w:val="0"/>
        <w:highlight w:val="none"/>
        <w:vertAlign w:val="baseline"/>
      </w:rPr>
    </w:lvl>
    <w:lvl w:ilvl="8" w:tplc="CA9EBFD4">
      <w:start w:val="1"/>
      <w:numFmt w:val="bullet"/>
      <w:lvlText w:val="▪"/>
      <w:lvlJc w:val="left"/>
      <w:pPr>
        <w:ind w:left="6327" w:hanging="567"/>
      </w:pPr>
      <w:rPr>
        <w:rFonts w:ascii="Garamond" w:eastAsia="Garamond" w:hAnsi="Garamond" w:cs="Garamond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1F497D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6347DC7"/>
    <w:multiLevelType w:val="hybridMultilevel"/>
    <w:tmpl w:val="895609EE"/>
    <w:numStyleLink w:val="Stileimportato3"/>
  </w:abstractNum>
  <w:abstractNum w:abstractNumId="3" w15:restartNumberingAfterBreak="0">
    <w:nsid w:val="362A3528"/>
    <w:multiLevelType w:val="hybridMultilevel"/>
    <w:tmpl w:val="83CE178E"/>
    <w:numStyleLink w:val="Stileimportato2"/>
  </w:abstractNum>
  <w:abstractNum w:abstractNumId="4" w15:restartNumberingAfterBreak="0">
    <w:nsid w:val="3FD931F1"/>
    <w:multiLevelType w:val="hybridMultilevel"/>
    <w:tmpl w:val="6AA4B71A"/>
    <w:styleLink w:val="Stileimportato1"/>
    <w:lvl w:ilvl="0" w:tplc="E80EEB14">
      <w:start w:val="1"/>
      <w:numFmt w:val="bullet"/>
      <w:lvlText w:val="-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CEB3B2">
      <w:start w:val="1"/>
      <w:numFmt w:val="bullet"/>
      <w:lvlText w:val="o"/>
      <w:lvlJc w:val="left"/>
      <w:pPr>
        <w:ind w:left="1287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3EFA1E">
      <w:start w:val="1"/>
      <w:numFmt w:val="bullet"/>
      <w:lvlText w:val="▪"/>
      <w:lvlJc w:val="left"/>
      <w:pPr>
        <w:ind w:left="2007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CF0A8BA">
      <w:start w:val="1"/>
      <w:numFmt w:val="bullet"/>
      <w:lvlText w:val="·"/>
      <w:lvlJc w:val="left"/>
      <w:pPr>
        <w:ind w:left="272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F82A4C">
      <w:start w:val="1"/>
      <w:numFmt w:val="bullet"/>
      <w:lvlText w:val="o"/>
      <w:lvlJc w:val="left"/>
      <w:pPr>
        <w:ind w:left="3447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BEA269E">
      <w:start w:val="1"/>
      <w:numFmt w:val="bullet"/>
      <w:lvlText w:val="▪"/>
      <w:lvlJc w:val="left"/>
      <w:pPr>
        <w:ind w:left="4167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EDA2EA8">
      <w:start w:val="1"/>
      <w:numFmt w:val="bullet"/>
      <w:lvlText w:val="·"/>
      <w:lvlJc w:val="left"/>
      <w:pPr>
        <w:ind w:left="488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02055E">
      <w:start w:val="1"/>
      <w:numFmt w:val="bullet"/>
      <w:lvlText w:val="o"/>
      <w:lvlJc w:val="left"/>
      <w:pPr>
        <w:ind w:left="5607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768798">
      <w:start w:val="1"/>
      <w:numFmt w:val="bullet"/>
      <w:lvlText w:val="▪"/>
      <w:lvlJc w:val="left"/>
      <w:pPr>
        <w:ind w:left="6327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E437CDF"/>
    <w:multiLevelType w:val="hybridMultilevel"/>
    <w:tmpl w:val="83CE178E"/>
    <w:styleLink w:val="Stileimportato2"/>
    <w:lvl w:ilvl="0" w:tplc="E64EE548">
      <w:start w:val="1"/>
      <w:numFmt w:val="lowerLetter"/>
      <w:lvlText w:val="%1)"/>
      <w:lvlJc w:val="left"/>
      <w:pPr>
        <w:ind w:left="99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00631C">
      <w:start w:val="1"/>
      <w:numFmt w:val="lowerLetter"/>
      <w:lvlText w:val="%2."/>
      <w:lvlJc w:val="left"/>
      <w:pPr>
        <w:ind w:left="17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B2BD78">
      <w:start w:val="1"/>
      <w:numFmt w:val="lowerRoman"/>
      <w:lvlText w:val="%3."/>
      <w:lvlJc w:val="left"/>
      <w:pPr>
        <w:ind w:left="2433" w:hanging="3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A76F74A">
      <w:start w:val="1"/>
      <w:numFmt w:val="decimal"/>
      <w:lvlText w:val="%4."/>
      <w:lvlJc w:val="left"/>
      <w:pPr>
        <w:ind w:left="315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E4373A">
      <w:start w:val="1"/>
      <w:numFmt w:val="lowerLetter"/>
      <w:lvlText w:val="%5."/>
      <w:lvlJc w:val="left"/>
      <w:pPr>
        <w:ind w:left="387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7D2F982">
      <w:start w:val="1"/>
      <w:numFmt w:val="lowerRoman"/>
      <w:lvlText w:val="%6."/>
      <w:lvlJc w:val="left"/>
      <w:pPr>
        <w:ind w:left="4593" w:hanging="3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D8EC0F8">
      <w:start w:val="1"/>
      <w:numFmt w:val="decimal"/>
      <w:lvlText w:val="%7."/>
      <w:lvlJc w:val="left"/>
      <w:pPr>
        <w:ind w:left="531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41685C2">
      <w:start w:val="1"/>
      <w:numFmt w:val="lowerLetter"/>
      <w:lvlText w:val="%8."/>
      <w:lvlJc w:val="left"/>
      <w:pPr>
        <w:ind w:left="6033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108D984">
      <w:start w:val="1"/>
      <w:numFmt w:val="lowerRoman"/>
      <w:lvlText w:val="%9."/>
      <w:lvlJc w:val="left"/>
      <w:pPr>
        <w:ind w:left="6753" w:hanging="3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7A3A5516"/>
    <w:multiLevelType w:val="hybridMultilevel"/>
    <w:tmpl w:val="6AA4B71A"/>
    <w:numStyleLink w:val="Stileimportato1"/>
  </w:abstractNum>
  <w:abstractNum w:abstractNumId="7" w15:restartNumberingAfterBreak="0">
    <w:nsid w:val="7B4A08B7"/>
    <w:multiLevelType w:val="hybridMultilevel"/>
    <w:tmpl w:val="D84C72B8"/>
    <w:numStyleLink w:val="Stileimportato4"/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FDF"/>
    <w:rsid w:val="00111547"/>
    <w:rsid w:val="00111A7F"/>
    <w:rsid w:val="00234FDF"/>
    <w:rsid w:val="008B5AB2"/>
    <w:rsid w:val="00901264"/>
    <w:rsid w:val="00EA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1EBED"/>
  <w15:docId w15:val="{755227DA-81FB-4DF8-884E-EFFE98CD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pacing w:line="276" w:lineRule="auto"/>
    </w:pPr>
    <w:rPr>
      <w:rFonts w:ascii="Arial" w:hAnsi="Arial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Paragrafoelenco">
    <w:name w:val="List Paragraph"/>
    <w:pPr>
      <w:spacing w:after="200" w:line="276" w:lineRule="auto"/>
      <w:ind w:left="708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outline w:val="0"/>
      <w:color w:val="000000"/>
      <w:u w:color="000000"/>
    </w:rPr>
  </w:style>
  <w:style w:type="character" w:customStyle="1" w:styleId="Hyperlink1">
    <w:name w:val="Hyperlink.1"/>
    <w:basedOn w:val="Nessuno"/>
    <w:rPr>
      <w:rFonts w:ascii="Times New Roman" w:eastAsia="Times New Roman" w:hAnsi="Times New Roman" w:cs="Times New Roman"/>
      <w:i/>
      <w:iCs/>
      <w:outline w:val="0"/>
      <w:color w:val="000000"/>
      <w:u w:color="000000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2">
    <w:name w:val="Hyperlink.2"/>
    <w:basedOn w:val="Link"/>
    <w:rPr>
      <w:outline w:val="0"/>
      <w:color w:val="000000"/>
      <w:u w:val="none" w:color="000000"/>
    </w:rPr>
  </w:style>
  <w:style w:type="numbering" w:customStyle="1" w:styleId="Stileimportato2">
    <w:name w:val="Stile importato 2"/>
    <w:pPr>
      <w:numPr>
        <w:numId w:val="3"/>
      </w:numPr>
    </w:pPr>
  </w:style>
  <w:style w:type="numbering" w:customStyle="1" w:styleId="Stileimportato3">
    <w:name w:val="Stile importato 3"/>
    <w:pPr>
      <w:numPr>
        <w:numId w:val="5"/>
      </w:numPr>
    </w:pPr>
  </w:style>
  <w:style w:type="character" w:customStyle="1" w:styleId="Hyperlink3">
    <w:name w:val="Hyperlink.3"/>
    <w:basedOn w:val="Link"/>
    <w:rPr>
      <w:rFonts w:ascii="Times New Roman" w:eastAsia="Times New Roman" w:hAnsi="Times New Roman" w:cs="Times New Roman"/>
      <w:i/>
      <w:iCs/>
      <w:outline w:val="0"/>
      <w:color w:val="000000"/>
      <w:u w:val="none" w:color="000000"/>
    </w:rPr>
  </w:style>
  <w:style w:type="numbering" w:customStyle="1" w:styleId="Stileimportato4">
    <w:name w:val="Stile importato 4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jure.it/" TargetMode="External"/><Relationship Id="rId13" Type="http://schemas.openxmlformats.org/officeDocument/2006/relationships/hyperlink" Target="https://www.lavoripubblici.it/normativa/20061227/Legge27-dicembre-2006-n-296-110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ejure.it/" TargetMode="External"/><Relationship Id="rId12" Type="http://schemas.openxmlformats.org/officeDocument/2006/relationships/hyperlink" Target="https://dejure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osettiegatti.eu/info/norme/statali/2016_0050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bosettiegatti.eu/info/norme/statali/2016_005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jure.i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 Berloni</dc:creator>
  <cp:lastModifiedBy>Lenovo</cp:lastModifiedBy>
  <cp:revision>4</cp:revision>
  <dcterms:created xsi:type="dcterms:W3CDTF">2022-12-01T09:27:00Z</dcterms:created>
  <dcterms:modified xsi:type="dcterms:W3CDTF">2022-12-06T10:25:00Z</dcterms:modified>
</cp:coreProperties>
</file>